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9C87C" w14:textId="77777777" w:rsidR="00E50DD0" w:rsidRDefault="00E50DD0" w:rsidP="00E50DD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HR</w:t>
      </w:r>
    </w:p>
    <w:p w14:paraId="6F8CF8C3" w14:textId="77777777" w:rsidR="00E50DD0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II.</w:t>
      </w:r>
    </w:p>
    <w:p w14:paraId="33BF0F02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„PRILOG II.</w:t>
      </w:r>
    </w:p>
    <w:p w14:paraId="43AF84F6" w14:textId="77777777" w:rsidR="00DD798A" w:rsidRPr="00037E7B" w:rsidRDefault="00DD798A" w:rsidP="00DD798A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REGULATORNOM KAPITALU I KAPITALNIM ZAHTJEVIMA</w:t>
      </w:r>
    </w:p>
    <w:p w14:paraId="6B9B322A" w14:textId="77777777" w:rsidR="00E26A90" w:rsidRDefault="00E26A90"/>
    <w:p w14:paraId="2A45E9E8" w14:textId="77777777" w:rsidR="00A931D0" w:rsidRDefault="00A931D0" w:rsidP="00A931D0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DIO II.: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UPUTE ZA POJEDINE OBRASCE</w:t>
      </w:r>
    </w:p>
    <w:p w14:paraId="572B21DA" w14:textId="77777777" w:rsidR="00A931D0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2CBE875B" w14:textId="77777777" w:rsidR="00A931D0" w:rsidRPr="00736637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7289C48A" w14:textId="77777777" w:rsidR="00A931D0" w:rsidRDefault="00A931D0"/>
    <w:p w14:paraId="7D324BFC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C 09.01 – Geografska raščlamba izloženosti prema boravištu dužnika: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izloženosti u skladu sa standardiziranim pristupom (CR GB 1)</w:t>
      </w:r>
    </w:p>
    <w:p w14:paraId="0D9A10C4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63"/>
      <w:bookmarkStart w:id="1" w:name="_Toc473560914"/>
      <w:bookmarkStart w:id="2" w:name="_Toc151714418"/>
      <w:r>
        <w:rPr>
          <w:sz w:val="24"/>
          <w:u w:val="none"/>
          <w:rFonts w:ascii="Times New Roman" w:hAnsi="Times New Roman"/>
        </w:rPr>
        <w:t xml:space="preserve">3.4.1.1.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1235ED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Stupci</w:t>
            </w:r>
          </w:p>
        </w:tc>
      </w:tr>
      <w:tr w:rsidR="009D6580" w:rsidRPr="002A677E" w14:paraId="08CE2FB2" w14:textId="77777777" w:rsidTr="00822842">
        <w:tc>
          <w:tcPr>
            <w:tcW w:w="1188" w:type="dxa"/>
          </w:tcPr>
          <w:p w14:paraId="75E0B30C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4841BFD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ORIGINALNA IZLOŽENOST PRIJE KONVERZIJSKIH FAKTORA</w:t>
            </w:r>
          </w:p>
          <w:p w14:paraId="1D6A0F0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0010 obrasca CR SA</w:t>
            </w:r>
          </w:p>
        </w:tc>
      </w:tr>
      <w:tr w:rsidR="009D6580" w:rsidRPr="002A677E" w14:paraId="5F923D3B" w14:textId="77777777" w:rsidTr="00822842">
        <w:tc>
          <w:tcPr>
            <w:tcW w:w="1188" w:type="dxa"/>
          </w:tcPr>
          <w:p w14:paraId="690878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04F3B53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Izloženosti u statusu neispunjavanja obveza</w:t>
            </w:r>
          </w:p>
          <w:p w14:paraId="147BD4ED" w14:textId="29FBEBE8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Originalna izloženost prije konverzijskih faktora za izloženosti koje su klasificirane kao „izloženosti u statusu neispunjavanja obveza” i za izloženosti u statusu neispunjavanja obveza raspoređene u kategoriju „izloženosti na osnovi vlasničkih ulaganja” i izloženosti u statusu neispunjavanja obveza raspoređene u kategoriju „izloženosti u obliku udjela ili dionica u subjektima za zajednička ulaganja („CIU-ovi”)”.</w:t>
            </w:r>
          </w:p>
          <w:p w14:paraId="6DA448A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U navedenoj se „bilješci” daju dodatne informacije o strukturi dužnika kategorije izloženosti u statusu neispunjavanja obveza.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Izloženosti klasificirane u kategoriju „izloženosti u statusu neispunjavanja obveza” iz članka 112. točke (j)</w:t>
            </w:r>
            <w:r>
              <w:rPr>
                <w:sz w:val="24"/>
                <w:rFonts w:ascii="Times New Roman" w:hAnsi="Times New Roman"/>
              </w:rPr>
              <w:t xml:space="preserve"> Uredbe (EU) br. 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iskazuju se kad bi se dužnici morali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br/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iskazati da te izloženosti nisu raspoređene u kategorije „izloženosti u statusu neispunjavanja obveza”.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52855171" w14:textId="65C7A920" w:rsidR="009D6580" w:rsidRPr="002A677E" w:rsidRDefault="00123F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Ta je informacija „bilješka” i stoga ne utječe na izračun iznosa izloženosti ponderiranih rizikom kategorija „ izloženosti u statusu neispunjavanja obveza”, „izloženosti na osnovi vlasničkih ulaganja” ili „izloženosti u obliku udjela ili dionica u subjektima za zajednička ulaganja („CIU-ovi”)” u skladu s člankom 112. točkama (j), (p) i (o) </w:t>
            </w:r>
            <w:r>
              <w:rPr>
                <w:sz w:val="24"/>
                <w:rFonts w:ascii="Times New Roman" w:hAnsi="Times New Roman"/>
              </w:rPr>
              <w:t xml:space="preserve">Uredbe (EU) br.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9D6580" w:rsidRPr="002A677E" w14:paraId="12737C01" w14:textId="77777777" w:rsidTr="00822842">
        <w:tc>
          <w:tcPr>
            <w:tcW w:w="1188" w:type="dxa"/>
          </w:tcPr>
          <w:p w14:paraId="0843F0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17ABA2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Zabilježeni novi statusi neispunjavanja obveza tijekom razdoblja</w:t>
            </w:r>
          </w:p>
          <w:p w14:paraId="4C451CE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Iznos originalnih izloženosti koje su prenesene u kategoriju izloženosti „u statusu neispunjavanja obveza” tijekom tromjesečnog razdoblje od zadnjeg referentnog izvještajnog datuma iskazuje se u odnosu na kategoriju izloženosti kojoj je dužnik originalno pripadao.</w:t>
            </w:r>
          </w:p>
        </w:tc>
      </w:tr>
      <w:tr w:rsidR="009D6580" w:rsidRPr="002A677E" w14:paraId="59173FA8" w14:textId="77777777" w:rsidTr="00822842">
        <w:tc>
          <w:tcPr>
            <w:tcW w:w="1188" w:type="dxa"/>
          </w:tcPr>
          <w:p w14:paraId="7368E5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1A491AA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Opći ispravci vrijednosti za kreditni rizik</w:t>
            </w:r>
          </w:p>
          <w:p w14:paraId="019027A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Ispravci vrijednosti za kreditni rizik iz članka 110. Uredbe (EU) br. 575/2013 i Uredbe (EU) 183/2014.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24DE0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 stavka uključuje opće ispravke vrijednosti za kreditni rizik koji ispunjavaju uvjete za uključivanje u dopunski kapital, prije primjene gornje granice iz članka 62. točke (c) Uredbe (EU) br. 575/2013.</w:t>
            </w:r>
          </w:p>
          <w:p w14:paraId="50B8B57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Iznos koji se iskazuje nije umanjen za porezne učinke.</w:t>
            </w:r>
          </w:p>
        </w:tc>
      </w:tr>
      <w:tr w:rsidR="009D6580" w:rsidRPr="002A677E" w14:paraId="18048AF8" w14:textId="77777777" w:rsidTr="00822842">
        <w:tc>
          <w:tcPr>
            <w:tcW w:w="1188" w:type="dxa"/>
          </w:tcPr>
          <w:p w14:paraId="6BF1FD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3DA55F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Specifični ispravci vrijednosti za kreditni rizik</w:t>
            </w:r>
          </w:p>
          <w:p w14:paraId="0C4040D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Ispravci vrijednosti za kreditni rizik iz članka 110. Uredbe (EU) br. 575/2013 i Uredbe (EU) 183/2014.</w:t>
            </w:r>
          </w:p>
        </w:tc>
      </w:tr>
      <w:tr w:rsidR="009D6580" w:rsidRPr="002A677E" w14:paraId="1433D694" w14:textId="77777777" w:rsidTr="00822842">
        <w:tc>
          <w:tcPr>
            <w:tcW w:w="1188" w:type="dxa"/>
          </w:tcPr>
          <w:p w14:paraId="0154002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E9754A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Otpisi</w:t>
            </w:r>
          </w:p>
          <w:p w14:paraId="5E984FA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Otpisi kako je navedeno u MSFI-ju 9.5.4.4. i B5.4.9.</w:t>
            </w:r>
          </w:p>
        </w:tc>
      </w:tr>
      <w:tr w:rsidR="009D6580" w:rsidRPr="002A677E" w14:paraId="1CFA94CF" w14:textId="77777777" w:rsidTr="00822842">
        <w:tc>
          <w:tcPr>
            <w:tcW w:w="1188" w:type="dxa"/>
          </w:tcPr>
          <w:p w14:paraId="23BBA9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8640" w:type="dxa"/>
          </w:tcPr>
          <w:p w14:paraId="7173ECB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Dodatna vrijednosna usklađenja i ostala smanjenja regulatornog kapitala</w:t>
            </w:r>
          </w:p>
          <w:p w14:paraId="074C80E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skladu s člankom 111. Uredbe (EU) br. 575/2013.</w:t>
            </w:r>
          </w:p>
        </w:tc>
      </w:tr>
      <w:tr w:rsidR="009D6580" w:rsidRPr="002A677E" w14:paraId="2939F77F" w14:textId="77777777" w:rsidTr="00822842">
        <w:tc>
          <w:tcPr>
            <w:tcW w:w="1188" w:type="dxa"/>
          </w:tcPr>
          <w:p w14:paraId="542B9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2643490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Ispravci vrijednosti za kreditni rizik/otpisi za zabilježene nove statuse neispunjavanja obveza</w:t>
            </w:r>
          </w:p>
          <w:p w14:paraId="7E554B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Zbroj ispravaka vrijednosti za kreditni rizik i otpisa za izloženosti koje su klasificirane kao „izloženosti u statusu neispunjavanja obveza” tijekom tromjesečnog razdoblja od zadnjeg podnošenja podataka.</w:t>
            </w:r>
          </w:p>
        </w:tc>
      </w:tr>
      <w:tr w:rsidR="009D6580" w:rsidRPr="002A677E" w14:paraId="2CA30DE3" w14:textId="77777777" w:rsidTr="00822842">
        <w:tc>
          <w:tcPr>
            <w:tcW w:w="1188" w:type="dxa"/>
          </w:tcPr>
          <w:p w14:paraId="2FD897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640" w:type="dxa"/>
          </w:tcPr>
          <w:p w14:paraId="233BFDC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</w:t>
            </w:r>
          </w:p>
          <w:p w14:paraId="4F84970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0200 obrasca CR SA</w:t>
            </w:r>
          </w:p>
        </w:tc>
      </w:tr>
      <w:tr w:rsidR="009D6580" w:rsidRPr="002A677E" w14:paraId="09BD9174" w14:textId="77777777" w:rsidTr="00822842">
        <w:tc>
          <w:tcPr>
            <w:tcW w:w="1188" w:type="dxa"/>
          </w:tcPr>
          <w:p w14:paraId="06587A3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0B560F31" w14:textId="46CDE534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PRIJE POMOĆNIH FAKTORA I PRIJE VALUTNE NEUSKLAĐENOSTI</w:t>
            </w:r>
          </w:p>
          <w:p w14:paraId="7F91718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0215 obrasca CR SA</w:t>
            </w:r>
          </w:p>
        </w:tc>
      </w:tr>
      <w:tr w:rsidR="009D6580" w:rsidRPr="002A677E" w14:paraId="172392A5" w14:textId="77777777" w:rsidTr="00822842">
        <w:tc>
          <w:tcPr>
            <w:tcW w:w="1188" w:type="dxa"/>
          </w:tcPr>
          <w:p w14:paraId="4881CC3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0081</w:t>
            </w:r>
          </w:p>
        </w:tc>
        <w:tc>
          <w:tcPr>
            <w:tcW w:w="8640" w:type="dxa"/>
          </w:tcPr>
          <w:p w14:paraId="3683E884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USKLAĐENJE IZNOSA IZLOŽENOSTI PONDERIRANOG RIZIKOM ZBOG POMOĆNOG FAKTORA ZA MSP-ove</w:t>
            </w:r>
          </w:p>
          <w:p w14:paraId="7D7BF2E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0216 obrasca CR SA</w:t>
            </w:r>
          </w:p>
        </w:tc>
      </w:tr>
      <w:tr w:rsidR="009D6580" w:rsidRPr="002A677E" w14:paraId="7C7A5C85" w14:textId="77777777" w:rsidTr="00822842">
        <w:tc>
          <w:tcPr>
            <w:tcW w:w="1188" w:type="dxa"/>
          </w:tcPr>
          <w:p w14:paraId="4ABD72E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0082</w:t>
            </w:r>
          </w:p>
        </w:tc>
        <w:tc>
          <w:tcPr>
            <w:tcW w:w="8640" w:type="dxa"/>
          </w:tcPr>
          <w:p w14:paraId="60EE9D4D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USKLAĐENJE IZNOSA IZLOŽENOSTI PONDERIRANOG RIZIKOM ZBOG POMOĆNOG FAKTORA ZA INFRASTRUKTURU</w:t>
            </w:r>
          </w:p>
          <w:p w14:paraId="3D157D7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0217 obrasca CR SA</w:t>
            </w:r>
          </w:p>
        </w:tc>
      </w:tr>
      <w:tr w:rsidR="009D6580" w:rsidRPr="002A677E" w14:paraId="2271C08F" w14:textId="77777777" w:rsidTr="00822842">
        <w:tc>
          <w:tcPr>
            <w:tcW w:w="1188" w:type="dxa"/>
          </w:tcPr>
          <w:p w14:paraId="7D3C5F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4080AC" w14:textId="77777777" w:rsidR="00AF2BE6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NAKON POMOĆNIH FAKTORA I NAKON VALUTNE NEUSKLAĐENOSTI</w:t>
            </w:r>
          </w:p>
          <w:p w14:paraId="5F17785F" w14:textId="6397E6C0" w:rsidR="009D6580" w:rsidRPr="002A677E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0220 obrasca CR SA</w:t>
            </w:r>
          </w:p>
        </w:tc>
      </w:tr>
    </w:tbl>
    <w:p w14:paraId="00F504F2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2A677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2A677E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Redci</w:t>
            </w:r>
          </w:p>
        </w:tc>
      </w:tr>
      <w:tr w:rsidR="009D6580" w:rsidRPr="002A677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Središnje države ili središnje banke</w:t>
            </w:r>
          </w:p>
          <w:p w14:paraId="701FDDD6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(a) Uredbe (EU) br. 575/2013</w:t>
            </w:r>
          </w:p>
        </w:tc>
      </w:tr>
      <w:tr w:rsidR="009D6580" w:rsidRPr="002A677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Jedinice područne (regionalne) ili lokalne samouprave</w:t>
            </w:r>
          </w:p>
          <w:p w14:paraId="06578FE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 (b) Uredbe (EU) br. 575/2013</w:t>
            </w:r>
          </w:p>
        </w:tc>
      </w:tr>
      <w:tr w:rsidR="009D6580" w:rsidRPr="002A677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Subjekti javnog sektora</w:t>
            </w:r>
          </w:p>
          <w:p w14:paraId="451BD94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(c) Uredbe (EU) br. 575/2013</w:t>
            </w:r>
          </w:p>
        </w:tc>
      </w:tr>
      <w:tr w:rsidR="009D6580" w:rsidRPr="002A677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Multilateralne razvojne banke</w:t>
            </w:r>
          </w:p>
          <w:p w14:paraId="59A0267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 (d) Uredbe (EU) br. 575/2013</w:t>
            </w:r>
          </w:p>
        </w:tc>
      </w:tr>
      <w:tr w:rsidR="009D6580" w:rsidRPr="002A677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Međunarodne organizacije</w:t>
            </w:r>
          </w:p>
          <w:p w14:paraId="17C7FCF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 (e) Uredbe (EU) br. 575/2013</w:t>
            </w:r>
          </w:p>
        </w:tc>
      </w:tr>
      <w:tr w:rsidR="009D6580" w:rsidRPr="002A677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Institucije</w:t>
            </w:r>
          </w:p>
          <w:p w14:paraId="153928C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 (f) Uredbe (EU) br. 575/2013</w:t>
            </w:r>
          </w:p>
        </w:tc>
      </w:tr>
      <w:tr w:rsidR="009D6580" w:rsidRPr="002A677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Trgovačka društva</w:t>
            </w:r>
          </w:p>
          <w:p w14:paraId="2131631A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 (g) Uredbe (EU) br. 575/2013</w:t>
            </w:r>
          </w:p>
        </w:tc>
      </w:tr>
      <w:tr w:rsidR="009D6580" w:rsidRPr="002A677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MSP</w:t>
            </w:r>
          </w:p>
          <w:p w14:paraId="54A9735B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stupac 0020 obrasca CR SA</w:t>
            </w:r>
          </w:p>
        </w:tc>
      </w:tr>
      <w:tr w:rsidR="009D6580" w:rsidRPr="002A677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Specijalizirano financiranje</w:t>
            </w:r>
          </w:p>
          <w:p w14:paraId="78348E89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Članak 122.a </w:t>
            </w:r>
            <w:r>
              <w:rPr>
                <w:sz w:val="24"/>
                <w:rFonts w:ascii="Times New Roman" w:hAnsi="Times New Roman"/>
              </w:rPr>
              <w:t xml:space="preserve">Uredbe (EU) br. 575/2013</w:t>
            </w:r>
          </w:p>
        </w:tc>
      </w:tr>
      <w:tr w:rsidR="009D6580" w:rsidRPr="002A677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Stanovništvo</w:t>
            </w:r>
          </w:p>
          <w:p w14:paraId="4C73D39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(h) Uredbe (EU) br. 575/2013</w:t>
            </w:r>
          </w:p>
        </w:tc>
      </w:tr>
      <w:tr w:rsidR="009D6580" w:rsidRPr="002A677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MSP</w:t>
            </w:r>
          </w:p>
          <w:p w14:paraId="08FE43D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stupac 0020 obrasca CR SA</w:t>
            </w:r>
          </w:p>
        </w:tc>
      </w:tr>
      <w:tr w:rsidR="009D6580" w:rsidRPr="002A677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nekretninama i ADC izloženosti</w:t>
            </w:r>
          </w:p>
          <w:p w14:paraId="6DD925ED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(i) Uredbe (EU) br. 575/2013</w:t>
            </w:r>
          </w:p>
        </w:tc>
      </w:tr>
      <w:tr w:rsidR="0020657D" w:rsidRPr="002A677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nije IPRE (osigurano)</w:t>
            </w:r>
          </w:p>
          <w:p w14:paraId="5BC0E4C6" w14:textId="5F815813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nije IPRE (neosigurano)</w:t>
            </w:r>
          </w:p>
          <w:p w14:paraId="607C903E" w14:textId="583159E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Ostalo – nije IPRE</w:t>
            </w:r>
          </w:p>
          <w:p w14:paraId="311E3CF5" w14:textId="5245D766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IPRE</w:t>
            </w:r>
          </w:p>
          <w:p w14:paraId="2090782C" w14:textId="64D92CBC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Ostalo – IPRE</w:t>
            </w:r>
          </w:p>
          <w:p w14:paraId="18E3F7B1" w14:textId="00D9A105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poslovnim nekretninama – nije IPRE (osigurano)</w:t>
            </w:r>
          </w:p>
          <w:p w14:paraId="1DD8A6CF" w14:textId="2D56F96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poslovnim nekretninama – nije IPRE (neosigurano)</w:t>
            </w:r>
          </w:p>
          <w:p w14:paraId="37DA45D4" w14:textId="1AC5F0E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poslovnim nekretninama – Ostalo – nije IPRE</w:t>
            </w:r>
          </w:p>
          <w:p w14:paraId="653F8A23" w14:textId="727D9E5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poslovnim nekretninama – IPRE</w:t>
            </w:r>
          </w:p>
          <w:p w14:paraId="5C23C6C1" w14:textId="64A934F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poslovnim nekretninama – Ostalo – IPRE</w:t>
            </w:r>
          </w:p>
          <w:p w14:paraId="4CFFBC8C" w14:textId="16697C60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20657D" w:rsidRPr="002A677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Stjecanje, razvoj i izgradnja (ADC)</w:t>
            </w:r>
          </w:p>
          <w:p w14:paraId="0CFE246E" w14:textId="00399E0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Vidjeti obrazac CR SA</w:t>
            </w:r>
          </w:p>
        </w:tc>
      </w:tr>
      <w:tr w:rsidR="009D6580" w:rsidRPr="002A677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MSP</w:t>
            </w:r>
          </w:p>
          <w:p w14:paraId="6A4AA475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stupac 0020 obrasca CR SA</w:t>
            </w:r>
          </w:p>
        </w:tc>
      </w:tr>
      <w:tr w:rsidR="009D6580" w:rsidRPr="002A677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u statusu neispunjavanja obveza</w:t>
            </w:r>
          </w:p>
          <w:p w14:paraId="24E89ACE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točka (j) Uredbe (EU) br. 575/2013</w:t>
            </w:r>
          </w:p>
        </w:tc>
      </w:tr>
      <w:tr w:rsidR="009D6580" w:rsidRPr="002A677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Podređene dužničke izloženosti</w:t>
            </w:r>
          </w:p>
          <w:p w14:paraId="7F19547A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(k) Uredbe (EU) br. 575/2013</w:t>
            </w:r>
          </w:p>
        </w:tc>
      </w:tr>
      <w:tr w:rsidR="009D6580" w:rsidRPr="002A677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Pokrivene obveznice</w:t>
            </w:r>
          </w:p>
          <w:p w14:paraId="68F7689A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(l)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</w:p>
        </w:tc>
      </w:tr>
      <w:tr w:rsidR="009D6580" w:rsidRPr="002A677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  <w:p w14:paraId="7980BCE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2A677E" w:rsidRDefault="009D6580" w:rsidP="00822842">
            <w:pPr>
              <w:ind w:left="72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Potraživanja prema institucijama i trgovačkim društvima s kratkoročnom kreditnom procjenom</w:t>
            </w:r>
          </w:p>
          <w:p w14:paraId="53F92677" w14:textId="77777777" w:rsidR="009D6580" w:rsidRPr="002A677E" w:rsidRDefault="009D6580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(n) Uredbe (EU) br. 575/2013</w:t>
            </w:r>
          </w:p>
        </w:tc>
      </w:tr>
      <w:tr w:rsidR="009D6580" w:rsidRPr="002A677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Subjekti za zajednička ulaganja (CIU)</w:t>
            </w:r>
          </w:p>
          <w:p w14:paraId="6BE6CAC2" w14:textId="77777777" w:rsidR="009D6580" w:rsidRPr="002A677E" w:rsidRDefault="009D6580" w:rsidP="00822842">
            <w:pPr>
              <w:ind w:left="72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(o) Uredbe (EU) br. 575/2013</w:t>
            </w:r>
          </w:p>
          <w:p w14:paraId="0FFD53A4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Zbroj redaka od 0141 do 0143</w:t>
            </w:r>
          </w:p>
        </w:tc>
      </w:tr>
      <w:tr w:rsidR="009D6580" w:rsidRPr="002A677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Pristup odnosnih izloženosti</w:t>
            </w:r>
          </w:p>
          <w:p w14:paraId="00783183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0281 obrasca CR SA</w:t>
            </w:r>
          </w:p>
        </w:tc>
      </w:tr>
      <w:tr w:rsidR="009D6580" w:rsidRPr="002A677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Pristup koji se temelji na mandatu</w:t>
            </w:r>
          </w:p>
          <w:p w14:paraId="1FD3865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0282 obrasca CR SA</w:t>
            </w:r>
          </w:p>
        </w:tc>
      </w:tr>
      <w:tr w:rsidR="009D6580" w:rsidRPr="002A677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Zamjenski pristup</w:t>
            </w:r>
          </w:p>
          <w:p w14:paraId="2EA9AADD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0283 obrasca CR SA</w:t>
            </w:r>
          </w:p>
        </w:tc>
      </w:tr>
      <w:tr w:rsidR="009D6580" w:rsidRPr="002A677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na osnovi vlasničkih ulaganja</w:t>
            </w:r>
          </w:p>
          <w:p w14:paraId="3170DAF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(p) Uredbe (EU) br. 575/2013</w:t>
            </w:r>
          </w:p>
        </w:tc>
      </w:tr>
      <w:tr w:rsidR="009D6580" w:rsidRPr="002A677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Ostale izloženosti</w:t>
            </w:r>
          </w:p>
          <w:p w14:paraId="5D70834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112. točka (q) Uredbe (EU) br. 575/2013</w:t>
            </w:r>
          </w:p>
        </w:tc>
      </w:tr>
      <w:tr w:rsidR="009D6580" w:rsidRPr="002A677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Ukupne izloženosti</w:t>
            </w:r>
          </w:p>
        </w:tc>
      </w:tr>
    </w:tbl>
    <w:p w14:paraId="2EB3E5B0" w14:textId="77777777" w:rsidR="009D6580" w:rsidRPr="002A677E" w:rsidRDefault="009D6580" w:rsidP="009D6580">
      <w:pPr>
        <w:spacing w:before="0" w:after="200" w:line="312" w:lineRule="auto"/>
        <w:jc w:val="left"/>
        <w:rPr>
          <w:sz w:val="24"/>
          <w:rFonts w:ascii="Times New Roman" w:hAnsi="Times New Roman"/>
        </w:rPr>
      </w:pPr>
      <w:bookmarkStart w:id="3" w:name="_Toc292456210"/>
    </w:p>
    <w:p w14:paraId="467F6DC6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360188364"/>
      <w:bookmarkStart w:id="5" w:name="_Toc473560915"/>
      <w:bookmarkStart w:id="6" w:name="_Toc151714419"/>
      <w:r>
        <w:rPr>
          <w:sz w:val="24"/>
          <w:u w:val="none"/>
          <w:rFonts w:ascii="Times New Roman" w:hAnsi="Times New Roman"/>
        </w:rPr>
        <w:t xml:space="preserve">3.4.2.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09.02 – Geografska raščlamba izloženosti prema boravištu dužnika: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Izloženosti u skladu s IRB pristupom</w:t>
      </w:r>
      <w:bookmarkEnd w:id="4"/>
      <w:r>
        <w:rPr>
          <w:sz w:val="24"/>
          <w:rFonts w:ascii="Times New Roman" w:hAnsi="Times New Roman"/>
        </w:rPr>
        <w:t xml:space="preserve"> (CR GB 2)</w:t>
      </w:r>
      <w:bookmarkEnd w:id="5"/>
      <w:bookmarkEnd w:id="6"/>
    </w:p>
    <w:p w14:paraId="21A320CB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7" w:name="_Toc360188365"/>
      <w:bookmarkStart w:id="8" w:name="_Toc473560916"/>
      <w:bookmarkStart w:id="9" w:name="_Toc151714420"/>
      <w:r>
        <w:rPr>
          <w:sz w:val="24"/>
          <w:u w:val="none"/>
          <w:rFonts w:ascii="Times New Roman" w:hAnsi="Times New Roman"/>
        </w:rPr>
        <w:t xml:space="preserve">3.4.2.1.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CF7BB7D" w14:textId="77777777" w:rsidTr="00822842">
        <w:tc>
          <w:tcPr>
            <w:tcW w:w="1188" w:type="dxa"/>
          </w:tcPr>
          <w:p w14:paraId="1DF8677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5DA72BDB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ORIGINALNA IZLOŽENOST PRIJE KONVERZIJSKIH FAKTORA</w:t>
            </w:r>
          </w:p>
          <w:p w14:paraId="714A5DA7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Ista definicija kao za stupac 0020 obrasca CR IRB</w:t>
            </w:r>
          </w:p>
        </w:tc>
      </w:tr>
      <w:tr w:rsidR="009D6580" w:rsidRPr="002A677E" w14:paraId="770F3897" w14:textId="77777777" w:rsidTr="00822842">
        <w:tc>
          <w:tcPr>
            <w:tcW w:w="1188" w:type="dxa"/>
          </w:tcPr>
          <w:p w14:paraId="56E092E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0071C39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 u statusu neispunjavanja obveza</w:t>
            </w:r>
          </w:p>
          <w:p w14:paraId="2768B5B2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originalne izloženosti za izloženosti koje su klasificirane kao izloženosti u statusu neispunjavanja obveza u skladu s člankom 178. Uredbe (EU) br. 575/2013</w:t>
            </w:r>
          </w:p>
        </w:tc>
      </w:tr>
      <w:tr w:rsidR="009D6580" w:rsidRPr="002A677E" w14:paraId="7AD6E18B" w14:textId="77777777" w:rsidTr="00822842">
        <w:tc>
          <w:tcPr>
            <w:tcW w:w="1188" w:type="dxa"/>
          </w:tcPr>
          <w:p w14:paraId="1DFAF6C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FD9DA2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Zabilježeni novi statusi neispunjavanja obveza tijekom razdoblja</w:t>
            </w:r>
          </w:p>
          <w:p w14:paraId="2393DEC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Iznos originalnih izloženosti koje su klasificirane kao „izloženosti u statusu neispunjavanja obveza” tijekom tromjesečnog razdoblje od zadnjeg referentnog izvještajnog datuma iskazuje se u odnosu na kategoriju izloženosti kojoj je dužnik originalno pripadao.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382342DD" w14:textId="77777777" w:rsidTr="00822842">
        <w:tc>
          <w:tcPr>
            <w:tcW w:w="1188" w:type="dxa"/>
          </w:tcPr>
          <w:p w14:paraId="20977C7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E8FD64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Opći ispravci vrijednosti za kreditni rizik</w:t>
            </w:r>
          </w:p>
          <w:p w14:paraId="1F1D0A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Ispravci vrijednosti za kreditni rizik iz članka 110. Uredbe (EU) br. 575/2013 i Uredbe (EU) 183/2014.</w:t>
            </w:r>
          </w:p>
        </w:tc>
      </w:tr>
      <w:tr w:rsidR="009D6580" w:rsidRPr="002A677E" w14:paraId="63C2E396" w14:textId="77777777" w:rsidTr="00822842">
        <w:tc>
          <w:tcPr>
            <w:tcW w:w="1188" w:type="dxa"/>
          </w:tcPr>
          <w:p w14:paraId="3BC8F12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26D828F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Specifični ispravci vrijednosti za kreditni rizik</w:t>
            </w:r>
          </w:p>
          <w:p w14:paraId="4DA8E76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Ispravci vrijednosti za kreditni rizik iz članka 110. Uredbe (EU) br. 575/2013 i Uredbe (EU) 183/2014.</w:t>
            </w:r>
          </w:p>
        </w:tc>
      </w:tr>
      <w:tr w:rsidR="009D6580" w:rsidRPr="002A677E" w14:paraId="24582208" w14:textId="77777777" w:rsidTr="00822842">
        <w:tc>
          <w:tcPr>
            <w:tcW w:w="1188" w:type="dxa"/>
          </w:tcPr>
          <w:p w14:paraId="46A1EB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4CC236D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Otpisi</w:t>
            </w:r>
          </w:p>
          <w:p w14:paraId="51BEEB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Otpisi kako je navedeno u MSFI-ju 9.5.4.4. i B5.4.9.</w:t>
            </w:r>
          </w:p>
        </w:tc>
      </w:tr>
      <w:tr w:rsidR="009D6580" w:rsidRPr="002A677E" w14:paraId="615BD0D9" w14:textId="77777777" w:rsidTr="00822842">
        <w:tc>
          <w:tcPr>
            <w:tcW w:w="1188" w:type="dxa"/>
          </w:tcPr>
          <w:p w14:paraId="641E5F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7C362C1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Ispravci vrijednosti za kreditni rizik/otpisi za zabilježene nove statuse neispunjavanja obveza</w:t>
            </w:r>
          </w:p>
          <w:p w14:paraId="454774E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Zbroj ispravaka vrijednosti i otpisa za izloženosti koje su klasificirane kao „izloženosti u statusu neispunjavanja obveza” tijekom tromjesečnog razdoblja od zadnjeg podnošenja podataka</w:t>
            </w:r>
          </w:p>
        </w:tc>
      </w:tr>
      <w:tr w:rsidR="009D6580" w:rsidRPr="002A677E" w14:paraId="4B7452D7" w14:textId="77777777" w:rsidTr="00822842">
        <w:tc>
          <w:tcPr>
            <w:tcW w:w="1188" w:type="dxa"/>
          </w:tcPr>
          <w:p w14:paraId="1A6811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256EF248" w14:textId="77777777" w:rsidR="009D6580" w:rsidRPr="002A677E" w:rsidRDefault="009D6580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INTERNA REJTING-SKALA / PD RASPOREĐENI U REJTING-KATEGORIJU DUŽNIKA ILI SKUP IZLOŽENOSTI (%)</w:t>
            </w:r>
          </w:p>
          <w:p w14:paraId="2C51714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0010 obrasca CR IRB</w:t>
            </w:r>
          </w:p>
        </w:tc>
      </w:tr>
      <w:tr w:rsidR="009D6580" w:rsidRPr="002A677E" w14:paraId="18989AFE" w14:textId="77777777" w:rsidTr="00822842">
        <w:tc>
          <w:tcPr>
            <w:tcW w:w="1188" w:type="dxa"/>
          </w:tcPr>
          <w:p w14:paraId="489AE0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B53B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PROSJEČNI LGD PONDERIRAN VISINOM IZLOŽENOSTI (%)</w:t>
            </w:r>
          </w:p>
          <w:p w14:paraId="5BC89E8E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Ista definicija kao za stupce 0230 i 0240 obrasca CR IRB: prosječni LGD ponderiran visinom izloženosti (%) odnosi se na sve izloženosti, uključujući izloženosti prema velikim subjektima financijskog sektora i nereguliranim financijskim subjektima.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Primjenjuje se članak 181. stavak 1. točka (h) Uredbe (EU) br. 575/2013.</w:t>
            </w:r>
          </w:p>
          <w:p w14:paraId="3A7794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u obliku specijaliziranog financiranja za koje je PD procijenjen, iskazana vrijednost treba biti ili procijenjeni ili regulatorni LGD.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u obliku specijaliziranog financiranja iz članka 153. stavka 5.Uredbe (EU) br. 575/2013 podaci se ne iskazuju jer nisu dostupni.</w:t>
            </w:r>
          </w:p>
        </w:tc>
      </w:tr>
      <w:tr w:rsidR="009D6580" w:rsidRPr="002A677E" w14:paraId="66756C12" w14:textId="77777777" w:rsidTr="00822842">
        <w:tc>
          <w:tcPr>
            <w:tcW w:w="1188" w:type="dxa"/>
          </w:tcPr>
          <w:p w14:paraId="317ECE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68CF6D3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 sa statusom neispunjavanja obveza</w:t>
            </w:r>
          </w:p>
          <w:p w14:paraId="789E281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Izloženošću ponderirani LGD za izloženosti koje su klasificirane kao izloženosti u statusu neispunjavanja obveza u skladu s člankom 178. Uredbe (EU) br. 575/2013</w:t>
            </w:r>
          </w:p>
        </w:tc>
      </w:tr>
      <w:tr w:rsidR="009D6580" w:rsidRPr="002A677E" w14:paraId="187792F5" w14:textId="77777777" w:rsidTr="00822842">
        <w:tc>
          <w:tcPr>
            <w:tcW w:w="1188" w:type="dxa"/>
          </w:tcPr>
          <w:p w14:paraId="41BFEDD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7B14423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</w:t>
            </w:r>
          </w:p>
          <w:p w14:paraId="533E4F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0110 obrasca CR IRB</w:t>
            </w:r>
          </w:p>
        </w:tc>
      </w:tr>
      <w:tr w:rsidR="009D6580" w:rsidRPr="002A677E" w14:paraId="48402149" w14:textId="77777777" w:rsidTr="00822842">
        <w:tc>
          <w:tcPr>
            <w:tcW w:w="1188" w:type="dxa"/>
          </w:tcPr>
          <w:p w14:paraId="3E4D714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FEC9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PRIJE PRIMJENE POMOĆNIH FAKTORA</w:t>
            </w:r>
          </w:p>
          <w:p w14:paraId="38950726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0255 obrasca CR IRB</w:t>
            </w:r>
          </w:p>
        </w:tc>
      </w:tr>
      <w:tr w:rsidR="009D6580" w:rsidRPr="002A677E" w14:paraId="321AA4CE" w14:textId="77777777" w:rsidTr="00822842">
        <w:tc>
          <w:tcPr>
            <w:tcW w:w="1188" w:type="dxa"/>
          </w:tcPr>
          <w:p w14:paraId="5F49B73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2A07E1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 u statusu neispunjavanja obveza</w:t>
            </w:r>
          </w:p>
          <w:p w14:paraId="0B72119F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Iznos izloženosti ponderiranih rizikom za izloženosti koje su klasificirane kao izloženosti u statusu neispunjavanja obveza u skladu s člankom 178. stavkom 1.</w:t>
            </w:r>
            <w:r>
              <w:rPr>
                <w:sz w:val="24"/>
                <w:rFonts w:ascii="Times New Roman" w:hAnsi="Times New Roman"/>
              </w:rPr>
              <w:t xml:space="preserve"> Uredbe (EU) br. 575/2013</w:t>
            </w:r>
          </w:p>
        </w:tc>
      </w:tr>
      <w:tr w:rsidR="009D6580" w:rsidRPr="002A677E" w14:paraId="4F58B17C" w14:textId="77777777" w:rsidTr="00822842">
        <w:tc>
          <w:tcPr>
            <w:tcW w:w="1188" w:type="dxa"/>
          </w:tcPr>
          <w:p w14:paraId="4331347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0121</w:t>
            </w:r>
          </w:p>
        </w:tc>
        <w:tc>
          <w:tcPr>
            <w:tcW w:w="8640" w:type="dxa"/>
          </w:tcPr>
          <w:p w14:paraId="51B6E44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 USKLAĐENJE IZNOSA IZLOŽENOSTI PONDERIRANIH RIZIKOM ZBOG POMOĆNOG FAKTORA ZA MSP-OVE</w:t>
            </w:r>
          </w:p>
          <w:p w14:paraId="7060DF0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0256 obrasca CR IRB</w:t>
            </w:r>
          </w:p>
        </w:tc>
      </w:tr>
      <w:tr w:rsidR="009D6580" w:rsidRPr="002A677E" w14:paraId="6DA9FCB6" w14:textId="77777777" w:rsidTr="00822842">
        <w:tc>
          <w:tcPr>
            <w:tcW w:w="1188" w:type="dxa"/>
          </w:tcPr>
          <w:p w14:paraId="189DC6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0122</w:t>
            </w:r>
          </w:p>
        </w:tc>
        <w:tc>
          <w:tcPr>
            <w:tcW w:w="8640" w:type="dxa"/>
          </w:tcPr>
          <w:p w14:paraId="77E1724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USKLAĐENJE IZNOSA IZLOŽENOSTI PONDERIRANOG RIZIKOM ZBOG POMOĆNOG FAKTORA ZA INFRASTRUKTURU</w:t>
            </w:r>
          </w:p>
          <w:p w14:paraId="1EE90D2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0257 obrasca CR IRB</w:t>
            </w:r>
          </w:p>
        </w:tc>
      </w:tr>
      <w:tr w:rsidR="009D6580" w:rsidRPr="002A677E" w14:paraId="0A79EDF4" w14:textId="77777777" w:rsidTr="00822842">
        <w:tc>
          <w:tcPr>
            <w:tcW w:w="1188" w:type="dxa"/>
          </w:tcPr>
          <w:p w14:paraId="2D50BBC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0125</w:t>
            </w:r>
          </w:p>
        </w:tc>
        <w:tc>
          <w:tcPr>
            <w:tcW w:w="8640" w:type="dxa"/>
          </w:tcPr>
          <w:p w14:paraId="0D402C8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NAKON PRIMJENE POMOĆNIH FAKTORA</w:t>
            </w:r>
          </w:p>
          <w:p w14:paraId="71F977E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0260 obrasca CR IRB</w:t>
            </w:r>
          </w:p>
        </w:tc>
      </w:tr>
      <w:tr w:rsidR="009D6580" w:rsidRPr="002A677E" w14:paraId="058051CC" w14:textId="77777777" w:rsidTr="00822842">
        <w:tc>
          <w:tcPr>
            <w:tcW w:w="1188" w:type="dxa"/>
          </w:tcPr>
          <w:p w14:paraId="02AA680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5E66C6B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OČEKIVANOGA GUBITKA</w:t>
            </w:r>
          </w:p>
          <w:p w14:paraId="27E1337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Ista definicija kao za stupac 0280 obrasca CR IRB</w:t>
            </w:r>
          </w:p>
        </w:tc>
      </w:tr>
    </w:tbl>
    <w:p w14:paraId="26CEB25D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1D216F1" w14:textId="77777777" w:rsidTr="00822842">
        <w:tc>
          <w:tcPr>
            <w:tcW w:w="1188" w:type="dxa"/>
          </w:tcPr>
          <w:p w14:paraId="12CBEF0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349EA9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Središnje banke i središnje države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5CC186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147. stavak 2. točka (a) Uredbe (EU) br. 575/2013</w:t>
            </w:r>
          </w:p>
        </w:tc>
      </w:tr>
      <w:tr w:rsidR="009D6580" w:rsidRPr="002A677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Jedinice područne (regionalne) ili lokalne samouprave</w:t>
            </w:r>
          </w:p>
          <w:p w14:paraId="4864E15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147. stavak 3.a Uredbe (EU) br. 575/2013</w:t>
            </w:r>
          </w:p>
        </w:tc>
      </w:tr>
      <w:tr w:rsidR="009D6580" w:rsidRPr="002A677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Jedinice područne (regionalne) ili lokalne samouprave</w:t>
            </w:r>
          </w:p>
          <w:p w14:paraId="19FE9B5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(a1) podtočka i. Uredbe (EU) br. 575/2013</w:t>
            </w:r>
          </w:p>
        </w:tc>
      </w:tr>
      <w:tr w:rsidR="009D6580" w:rsidRPr="002A677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Subjekti javnog sektora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DE1AA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(a1) podtočka ii. Uredbe (EU) br. 575/2013</w:t>
            </w:r>
          </w:p>
        </w:tc>
      </w:tr>
      <w:tr w:rsidR="009D6580" w:rsidRPr="002A677E" w14:paraId="0C55C95D" w14:textId="77777777" w:rsidTr="00822842">
        <w:tc>
          <w:tcPr>
            <w:tcW w:w="1188" w:type="dxa"/>
          </w:tcPr>
          <w:p w14:paraId="6C8F06F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460BDDF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Institucije</w:t>
            </w:r>
          </w:p>
          <w:p w14:paraId="504F46A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(b) Uredbe (EU) br. 575/2013</w:t>
            </w:r>
          </w:p>
        </w:tc>
      </w:tr>
      <w:tr w:rsidR="009D6580" w:rsidRPr="002A677E" w14:paraId="2B29BE20" w14:textId="77777777" w:rsidTr="00822842">
        <w:tc>
          <w:tcPr>
            <w:tcW w:w="1188" w:type="dxa"/>
          </w:tcPr>
          <w:p w14:paraId="521AA8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63C7233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Trgovačka društva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99F9BD2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Sve izloženosti prema trgovačkim društvima iz članka 147. stavka 2. točke (c) Uredbe (EU) br. 575/2013</w:t>
            </w:r>
          </w:p>
        </w:tc>
      </w:tr>
      <w:tr w:rsidR="009D6580" w:rsidRPr="002A677E" w14:paraId="55C3FE5A" w14:textId="77777777" w:rsidTr="00822842">
        <w:tc>
          <w:tcPr>
            <w:tcW w:w="1188" w:type="dxa"/>
          </w:tcPr>
          <w:p w14:paraId="198D8F5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6C0F4F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MSP</w:t>
            </w:r>
          </w:p>
          <w:p w14:paraId="13819074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(c) Uredbe (EU) br. 575/2013</w:t>
            </w:r>
          </w:p>
          <w:p w14:paraId="6C8F6FE1" w14:textId="408BCC75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potrebe razvrstavanja u ovu podkategoriju izloženosti izvještajni subjekti primjenjuju definiciju MSP-a iz članka 5. stavka 8.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56773" w:rsidRPr="00E47484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2A677E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Velika trgovačka društva</w:t>
            </w:r>
          </w:p>
          <w:p w14:paraId="503F359E" w14:textId="77777777" w:rsidR="00B56773" w:rsidRPr="00B56773" w:rsidRDefault="00B56773" w:rsidP="00B5677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(c) Uredbe (EU) br. 575/2013</w:t>
            </w:r>
          </w:p>
          <w:p w14:paraId="23F8CBD6" w14:textId="77777777" w:rsidR="00B56773" w:rsidRPr="00E47484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potrebe razvrstavanja u ovu podkategoriju izloženosti izvještajni subjekti primjenjuju definiciju velikog trgovačkog društva iz članka 142. stavka 1. točke 5.a Uredbe (EU) br. 575/2013.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56773" w:rsidRPr="00E47484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2A677E" w:rsidDel="000306F2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Specijalizirano financiranje</w:t>
            </w:r>
          </w:p>
          <w:p w14:paraId="510C1D3E" w14:textId="683EFC86" w:rsidR="00B56773" w:rsidRPr="00B56773" w:rsidDel="000306F2" w:rsidRDefault="00B56773" w:rsidP="007400C4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147. stavak 2. točka (c) podtočka ii.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1.</w:t>
            </w:r>
          </w:p>
        </w:tc>
      </w:tr>
      <w:tr w:rsidR="00B56773" w:rsidRPr="00E47484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72FDE0D4" w:rsidRDefault="00B56773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0053-0056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021099" w:rsidRDefault="00B56773" w:rsidP="00B56773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Specijalizirano financiranje – vrste izloženosti u obliku specijaliziranog financiranja</w:t>
            </w:r>
          </w:p>
          <w:p w14:paraId="1E4AC942" w14:textId="49F536D6" w:rsidR="00B56773" w:rsidRPr="00F16E4D" w:rsidRDefault="00B56773" w:rsidP="00822842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sljedeće vrstama izloženosti u obliku specijaliziranog financiranja iz članka 147. stavka 8.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2 u odgovarajućem retku: Specijalizirano financiranje „financiranje projekata”, „financiranje objekata”, „financiranje robe” i „nekretnine koje donose prihod” (IPRE).</w:t>
            </w:r>
          </w:p>
        </w:tc>
      </w:tr>
      <w:tr w:rsidR="009D6580" w:rsidRPr="00E47484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Otkupljena potraživanja</w:t>
            </w:r>
          </w:p>
          <w:p w14:paraId="40628222" w14:textId="77777777" w:rsidR="009D6580" w:rsidRPr="00E47484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147. stavak 2. točka (c) podtočka iii. Uredbe (EU) br. 575/2013.</w:t>
            </w:r>
          </w:p>
        </w:tc>
      </w:tr>
      <w:tr w:rsidR="00F16E4D" w:rsidRPr="002A677E" w14:paraId="27B47EEA" w14:textId="77777777" w:rsidTr="00822842">
        <w:tc>
          <w:tcPr>
            <w:tcW w:w="1188" w:type="dxa"/>
          </w:tcPr>
          <w:p w14:paraId="329ABF25" w14:textId="3906F1E5" w:rsidR="00F16E4D" w:rsidRPr="002A677E" w:rsidRDefault="00F16E4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0058</w:t>
            </w:r>
          </w:p>
        </w:tc>
        <w:tc>
          <w:tcPr>
            <w:tcW w:w="8640" w:type="dxa"/>
          </w:tcPr>
          <w:p w14:paraId="27CFAA09" w14:textId="513D8D7F" w:rsidR="00F16E4D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Ostalo</w:t>
            </w:r>
          </w:p>
          <w:p w14:paraId="75A3CB20" w14:textId="69737D7D" w:rsidR="00F16E4D" w:rsidRPr="002A677E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147. stavak 2. točka (i) Uredbe (EU) br. 575/2013</w:t>
            </w:r>
          </w:p>
        </w:tc>
      </w:tr>
      <w:tr w:rsidR="009D6580" w:rsidRPr="002A677E" w14:paraId="3CAC5C4A" w14:textId="77777777" w:rsidTr="00822842">
        <w:tc>
          <w:tcPr>
            <w:tcW w:w="1188" w:type="dxa"/>
          </w:tcPr>
          <w:p w14:paraId="50AFEE2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84F36E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Stanovništvo</w:t>
            </w:r>
          </w:p>
          <w:p w14:paraId="61F9869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Sve izloženosti prema stanovništvu iz članka 147. stavka 2. točke (d) Uredbe (EU) br. 575/2013.</w:t>
            </w:r>
          </w:p>
        </w:tc>
      </w:tr>
      <w:tr w:rsidR="009D6580" w:rsidRPr="002A677E" w14:paraId="3126FC45" w14:textId="77777777" w:rsidTr="00822842">
        <w:tc>
          <w:tcPr>
            <w:tcW w:w="1188" w:type="dxa"/>
          </w:tcPr>
          <w:p w14:paraId="3B5D672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094A84E8" w14:textId="1D426AD8" w:rsidR="009D6580" w:rsidRPr="002A677E" w:rsidRDefault="005B37F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Stanovništvo – izloženosti osigurane nekretninama</w:t>
            </w:r>
          </w:p>
          <w:p w14:paraId="35B1F6E7" w14:textId="4962CAD8" w:rsidR="00FD0F61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kako su definirane u članku 147. stavku 2. točki (d) Uredbe (EU) br. 575/2013, koje su osigurane nekretninama kako su definirane u članku 4. stavku 1. točki 75.f podtočki (d) Uredbe (EU) br. 575/2013.</w:t>
            </w:r>
          </w:p>
          <w:p w14:paraId="0CD06107" w14:textId="22291817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9D6580" w:rsidRPr="002A677E" w14:paraId="49CD7917" w14:textId="77777777" w:rsidTr="00822842">
        <w:tc>
          <w:tcPr>
            <w:tcW w:w="1188" w:type="dxa"/>
          </w:tcPr>
          <w:p w14:paraId="3FA8BBC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4738C3E5" w14:textId="186F9DD4" w:rsidR="009D6580" w:rsidRPr="002A677E" w:rsidRDefault="00FD0F61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MSP</w:t>
            </w:r>
          </w:p>
          <w:p w14:paraId="67BFF2AB" w14:textId="02FB7D89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kako su definirane u članku 147. stavku 2. točki (d) Uredbe (EU) br. 575/2013, iskazane pod B.6.1. do B.6.4., koje su osigurane nekretninama kako su definirane u članku 4. stavku 1. točki 75.f podtočki (d) Uredbe (EU) br. 575/2013 u vezi s člankom 5. stavkom 8.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E47484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E47484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Subjekti koji nisu MSP-ovi</w:t>
            </w:r>
          </w:p>
          <w:p w14:paraId="68647661" w14:textId="272EAD03" w:rsidR="00837F98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kako su definirane u članku 147. stavku 2. točki (d) Uredbe (EU) br. 575/2013, iskazane pod B.6.1. do B.6.4., koje su osigurane nekretninama kako su definirane u članku 4. stavku 1. točki 75.f podtočki (d) Uredbe (EU) br. 575/2013, ne u vezi s člankom 5. stavkom 8. Uredbe (EU) br. 575/2013.</w:t>
            </w:r>
          </w:p>
          <w:p w14:paraId="34F371DC" w14:textId="683F21EB" w:rsidR="009D6580" w:rsidRPr="00D10012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2A677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2A677E" w:rsidRDefault="00910F6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Osigurano stambenom nekretninom</w:t>
            </w:r>
          </w:p>
          <w:p w14:paraId="3B8B837D" w14:textId="77777777" w:rsidR="00910F63" w:rsidRPr="00910F63" w:rsidRDefault="00910F63" w:rsidP="00910F6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iz članka 147. stavka 2. točke (d) podtočke ii. Uredbe (EU) br. 575/2013.</w:t>
            </w:r>
          </w:p>
          <w:p w14:paraId="7240267A" w14:textId="77777777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Izloženostima prema stanovništvu osiguranima stambenim nekretninama smatrat će se sve izloženosti prema stanovništvu osigurane stambenim nekretninama koje se priznaju kao kolateral, neovisno o omjeru vrijednosti kolaterala prema izloženosti ili namjeni kredita.</w:t>
            </w:r>
          </w:p>
        </w:tc>
      </w:tr>
      <w:tr w:rsidR="009D6580" w:rsidRPr="002A677E" w14:paraId="38AD5BBA" w14:textId="77777777" w:rsidTr="00822842">
        <w:tc>
          <w:tcPr>
            <w:tcW w:w="1188" w:type="dxa"/>
          </w:tcPr>
          <w:p w14:paraId="48A5C8D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1B160106" w14:textId="7C65E11F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Kvalificirane obnovljive izloženosti</w:t>
            </w:r>
          </w:p>
          <w:p w14:paraId="363209C3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iz članka 147. stavka 2. točke (d) podtočke i. u vezi s člankom 154. stavkom 4. Uredbe (EU) br. 575/2013</w:t>
            </w:r>
          </w:p>
        </w:tc>
      </w:tr>
      <w:tr w:rsidR="009D6580" w:rsidRPr="002A677E" w14:paraId="26D0338D" w14:textId="77777777" w:rsidTr="00822842">
        <w:tc>
          <w:tcPr>
            <w:tcW w:w="1188" w:type="dxa"/>
          </w:tcPr>
          <w:p w14:paraId="6DA4B8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63563096" w14:textId="485ECEE6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Otkupljena potraživanja</w:t>
            </w:r>
          </w:p>
          <w:p w14:paraId="7C92CD05" w14:textId="77777777" w:rsidR="009D6580" w:rsidRPr="00B7761D" w:rsidRDefault="009D6580" w:rsidP="00822842">
            <w:pPr>
              <w:rPr>
                <w:sz w:val="18"/>
                <w:szCs w:val="18"/>
                <w:rFonts w:cs="Calibri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stanovništvu iz članka 147. stavka 2. točke (d) podtočke iii. Uredbe (EU) br. 575/2013.</w:t>
            </w:r>
          </w:p>
        </w:tc>
      </w:tr>
      <w:tr w:rsidR="009D6580" w:rsidRPr="002A677E" w14:paraId="551F153F" w14:textId="77777777" w:rsidTr="00822842">
        <w:tc>
          <w:tcPr>
            <w:tcW w:w="1188" w:type="dxa"/>
          </w:tcPr>
          <w:p w14:paraId="1C567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169086" w14:textId="5BA51B78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Ostale izloženosti prema stanovništvu</w:t>
            </w:r>
          </w:p>
          <w:p w14:paraId="6BB335AD" w14:textId="5184DC86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Ostale izloženosti prema stanovništvu iz članka 147. stavka 2. točke (d) podtočke iv. Uredbe (EU) br. 575/2013.</w:t>
            </w:r>
          </w:p>
        </w:tc>
      </w:tr>
      <w:tr w:rsidR="009D6580" w:rsidRPr="002A677E" w14:paraId="1879AB2D" w14:textId="77777777" w:rsidTr="00822842">
        <w:tc>
          <w:tcPr>
            <w:tcW w:w="1188" w:type="dxa"/>
          </w:tcPr>
          <w:p w14:paraId="247F053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37F76446" w14:textId="0C2F5C96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MSP</w:t>
            </w:r>
          </w:p>
          <w:p w14:paraId="28CE96BD" w14:textId="7A3420F8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Ostale izloženosti prema stanovništvu iz članka 147. stavka 2. točke (d) podtočke iv. Uredbe (EU) br. 575/2013 u vezi s člankom 5. stavkom 8.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6140E6E8" w14:textId="77777777" w:rsidTr="00822842">
        <w:tc>
          <w:tcPr>
            <w:tcW w:w="1188" w:type="dxa"/>
          </w:tcPr>
          <w:p w14:paraId="4DD007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40BDF108" w14:textId="2B96A314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Subjekti koji nisu MSP-ovi</w:t>
            </w:r>
          </w:p>
          <w:p w14:paraId="51D486B6" w14:textId="251D2008" w:rsidR="009D6580" w:rsidRPr="002A677E" w:rsidRDefault="00837F9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Ostale izloženosti prema stanovništvu iz članka 147. stavka 2. točke (d) podtočke iv. Uredbe (EU) br. 575/2013, koje nisu u vezi s člankom 5. stavkom 8. Uredbe (EU) br. 575/2013.</w:t>
            </w:r>
          </w:p>
        </w:tc>
      </w:tr>
      <w:tr w:rsidR="009D6580" w:rsidRPr="002A677E" w14:paraId="70A29A85" w14:textId="77777777" w:rsidTr="00822842">
        <w:tc>
          <w:tcPr>
            <w:tcW w:w="1188" w:type="dxa"/>
          </w:tcPr>
          <w:p w14:paraId="5C2874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640" w:type="dxa"/>
          </w:tcPr>
          <w:p w14:paraId="170B9280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Subjekti za zajednička ulaganja (CIU)</w:t>
            </w:r>
          </w:p>
          <w:p w14:paraId="4237C58D" w14:textId="4E266C1C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t xml:space="preserve">Članak 147. stavak 2. točka (e1) Uredbe (EU) br. 575/2013</w:t>
            </w:r>
          </w:p>
        </w:tc>
      </w:tr>
      <w:tr w:rsidR="009D6580" w:rsidRPr="002A677E" w14:paraId="72EBDFDD" w14:textId="77777777" w:rsidTr="00822842">
        <w:tc>
          <w:tcPr>
            <w:tcW w:w="1188" w:type="dxa"/>
          </w:tcPr>
          <w:p w14:paraId="290EDA8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0133</w:t>
            </w:r>
          </w:p>
        </w:tc>
        <w:tc>
          <w:tcPr>
            <w:tcW w:w="8640" w:type="dxa"/>
          </w:tcPr>
          <w:p w14:paraId="39E22A69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Pristup odnosnih izloženosti</w:t>
            </w:r>
          </w:p>
          <w:p w14:paraId="3481CEEB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0190 obrasca CR IRB</w:t>
            </w:r>
          </w:p>
        </w:tc>
      </w:tr>
      <w:tr w:rsidR="009D6580" w:rsidRPr="002A677E" w14:paraId="6520599F" w14:textId="77777777" w:rsidTr="00822842">
        <w:tc>
          <w:tcPr>
            <w:tcW w:w="1188" w:type="dxa"/>
          </w:tcPr>
          <w:p w14:paraId="5DF820F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0134</w:t>
            </w:r>
          </w:p>
        </w:tc>
        <w:tc>
          <w:tcPr>
            <w:tcW w:w="8640" w:type="dxa"/>
          </w:tcPr>
          <w:p w14:paraId="13156AFE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Pristup koji se temelji na mandatu</w:t>
            </w:r>
          </w:p>
          <w:p w14:paraId="37B63BC9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0200 obrasca CR IRB</w:t>
            </w:r>
          </w:p>
        </w:tc>
      </w:tr>
      <w:tr w:rsidR="009D6580" w:rsidRPr="002A677E" w14:paraId="57B2C532" w14:textId="77777777" w:rsidTr="00822842">
        <w:tc>
          <w:tcPr>
            <w:tcW w:w="1188" w:type="dxa"/>
          </w:tcPr>
          <w:p w14:paraId="251B0D2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0135</w:t>
            </w:r>
          </w:p>
        </w:tc>
        <w:tc>
          <w:tcPr>
            <w:tcW w:w="8640" w:type="dxa"/>
          </w:tcPr>
          <w:p w14:paraId="19D4ED63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Zamjenski pristup</w:t>
            </w:r>
          </w:p>
          <w:p w14:paraId="18A39C60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Ista definicija kao za redak 0210 obrasca CR IRB</w:t>
            </w:r>
          </w:p>
        </w:tc>
      </w:tr>
      <w:bookmarkEnd w:id="3"/>
      <w:tr w:rsidR="009D6580" w:rsidRPr="002A677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Vlasnička ulaganja</w:t>
            </w:r>
          </w:p>
          <w:p w14:paraId="1A033F1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na osnovi vlasničkih ulaganja iz članka 147. stavka 2. točke (e) Uredbe (EU) br. 575/2013</w:t>
            </w:r>
          </w:p>
        </w:tc>
      </w:tr>
      <w:tr w:rsidR="009D6580" w:rsidRPr="002A677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Ukupne izloženosti</w:t>
            </w:r>
          </w:p>
        </w:tc>
      </w:tr>
    </w:tbl>
    <w:p w14:paraId="7728923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60188366"/>
      <w:bookmarkStart w:id="11" w:name="_Toc473560917"/>
      <w:bookmarkStart w:id="12" w:name="_Toc151714421"/>
      <w:r>
        <w:rPr>
          <w:sz w:val="24"/>
          <w:u w:val="none"/>
          <w:rFonts w:ascii="Times New Roman" w:hAnsi="Times New Roman"/>
        </w:rPr>
        <w:t xml:space="preserve">3.4.3.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09.04 – Raščlamba relevantnih kreditnih izloženosti za potrebe izračuna protucikličkog zaštitnog sloja prema zemlji i stope protucikličkog zaštitnog sloja specifičnog za instituciju </w:t>
      </w:r>
      <w:bookmarkEnd w:id="10"/>
      <w:r>
        <w:rPr>
          <w:sz w:val="24"/>
          <w:rFonts w:ascii="Times New Roman" w:hAnsi="Times New Roman"/>
        </w:rPr>
        <w:t xml:space="preserve">(CCB)</w:t>
      </w:r>
      <w:bookmarkEnd w:id="11"/>
      <w:bookmarkEnd w:id="12"/>
    </w:p>
    <w:p w14:paraId="600FC3A3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360188367"/>
      <w:bookmarkStart w:id="14" w:name="_Toc473560918"/>
      <w:bookmarkStart w:id="15" w:name="_Toc151714422"/>
      <w:r>
        <w:rPr>
          <w:sz w:val="24"/>
          <w:u w:val="none"/>
          <w:rFonts w:ascii="Times New Roman" w:hAnsi="Times New Roman"/>
        </w:rPr>
        <w:t xml:space="preserve">3.4.3.1.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Opće napomene</w:t>
      </w:r>
      <w:bookmarkEnd w:id="13"/>
      <w:bookmarkEnd w:id="14"/>
      <w:bookmarkEnd w:id="15"/>
    </w:p>
    <w:p w14:paraId="57D13BA6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88</w:t>
      </w:r>
      <w:r>
        <w:fldChar w:fldCharType="end"/>
      </w:r>
      <w:r>
        <w:t xml:space="preserve">.</w:t>
      </w:r>
      <w:r>
        <w:tab/>
      </w:r>
      <w:r>
        <w:t xml:space="preserve">Cilj je ovog obrasca dobivanje više informacija o elementima protucikličkog zaštitnog sloja kapitala specifičnog za instituciju.</w:t>
      </w:r>
      <w:r>
        <w:t xml:space="preserve"> </w:t>
      </w:r>
      <w:r>
        <w:t xml:space="preserve">Potrebne informacije odnose se na kapitalne zahtjeve utvrđene u skladu s dijelom trećim glavama II. i IV. Uredbe (EU) br. 575/2013 i geografski položaj za kreditne izloženosti, sekuritizacijske izloženosti i izloženosti iz knjige trgovanja relevantne za izračun protucikličkog zaštitnog sloja kapitala specifičnog za instituciju u skladu s člankom 140. Direktive 2013/36/EU (relevantne kreditne izloženosti).</w:t>
      </w:r>
      <w:r>
        <w:t xml:space="preserve"> </w:t>
      </w:r>
    </w:p>
    <w:p w14:paraId="10EA3DAD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89</w:t>
      </w:r>
      <w:r>
        <w:fldChar w:fldCharType="end"/>
      </w:r>
      <w:r>
        <w:t xml:space="preserve">.</w:t>
      </w:r>
      <w:r>
        <w:tab/>
      </w:r>
      <w:r>
        <w:t xml:space="preserve">Informacije u obrascu C 09.04 iskazuju se za stavku „ukupne” relevantne kreditne izloženosti u svim državama u kojima se nalaze te izloženosti i pojedinačno za svaku državu u kojima se nalaze relevantne kreditne izloženosti.</w:t>
      </w:r>
      <w:r>
        <w:t xml:space="preserve"> </w:t>
      </w:r>
      <w:r>
        <w:t xml:space="preserve">Ukupne vrijednosti te informacije o svakoj državi iskazuju se zasebno.</w:t>
      </w:r>
      <w:r>
        <w:t xml:space="preserve"> </w:t>
      </w:r>
    </w:p>
    <w:p w14:paraId="054CDEAF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90</w:t>
      </w:r>
      <w:r>
        <w:fldChar w:fldCharType="end"/>
      </w:r>
      <w:r>
        <w:t xml:space="preserve">.</w:t>
      </w:r>
      <w:r>
        <w:tab/>
      </w:r>
      <w:r>
        <w:t xml:space="preserve">Prag određen u članku 5. stavku 5. ove Provedbene uredbe ne primjenjuje se na izvješćivanje o ovoj raščlambi.</w:t>
      </w:r>
    </w:p>
    <w:bookmarkStart w:id="16" w:name="_Hlk151650982"/>
    <w:p w14:paraId="710781F7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>
        <w:t>91</w:t>
      </w:r>
      <w:r>
        <w:fldChar w:fldCharType="end"/>
      </w:r>
      <w:r>
        <w:t xml:space="preserve">.</w:t>
      </w:r>
      <w:r>
        <w:tab/>
      </w:r>
      <w:r>
        <w:t xml:space="preserve">Kako bi se utvrdio geografski položaj, izloženosti se raspoređuju na osnovi položaja neposrednog dužnika kako je predviđeno Delegiranom uredbom Komisije (EU) br. 1152/2014.</w:t>
      </w:r>
      <w:r w:rsidRPr="002A677E">
        <w:footnoteReference w:id="1"/>
      </w:r>
      <w:r>
        <w:t xml:space="preserve"> </w:t>
      </w:r>
      <w:r>
        <w:t xml:space="preserve">Stoga se tehnikama smanjenja kreditnog rizika ne mijenja raspodjela izloženosti prema geografskom položaju za potrebe izvješćivanja o informacijama utvrđenima u ovom obrascu.</w:t>
      </w:r>
    </w:p>
    <w:p w14:paraId="4811C8E1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7" w:name="_Toc360188368"/>
      <w:bookmarkStart w:id="18" w:name="_Toc473560919"/>
      <w:bookmarkStart w:id="19" w:name="_Toc151714423"/>
      <w:bookmarkEnd w:id="16"/>
      <w:r>
        <w:rPr>
          <w:sz w:val="24"/>
          <w:u w:val="none"/>
          <w:rFonts w:ascii="Times New Roman" w:hAnsi="Times New Roman"/>
        </w:rPr>
        <w:t xml:space="preserve">3.4.3.2.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6B14BCBD" w14:textId="77777777" w:rsidTr="00822842">
        <w:tc>
          <w:tcPr>
            <w:tcW w:w="1697" w:type="dxa"/>
          </w:tcPr>
          <w:p w14:paraId="5CBD6D84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A1F53D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</w:t>
            </w:r>
          </w:p>
          <w:p w14:paraId="4EDF643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relevantnih kreditnih izloženosti i s njima povezanih kapitalnih zahtjeva utvrđenih u skladu s uputama za odgovarajući redak.</w:t>
            </w:r>
          </w:p>
        </w:tc>
      </w:tr>
      <w:tr w:rsidR="009D6580" w:rsidRPr="002A677E" w14:paraId="29BB3D71" w14:textId="77777777" w:rsidTr="00822842">
        <w:tc>
          <w:tcPr>
            <w:tcW w:w="1697" w:type="dxa"/>
          </w:tcPr>
          <w:p w14:paraId="15999D4B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4133F8D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Postotak</w:t>
            </w:r>
          </w:p>
          <w:p w14:paraId="01DD816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2A677E" w14:paraId="2A8BD3C1" w14:textId="77777777" w:rsidTr="00822842">
        <w:tc>
          <w:tcPr>
            <w:tcW w:w="1697" w:type="dxa"/>
          </w:tcPr>
          <w:p w14:paraId="0F30E1C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61529C4E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Kvalitativne informacije</w:t>
            </w:r>
          </w:p>
          <w:p w14:paraId="394356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se iskazuju samo za zemlju rezidentnosti institucije (zemlju koja odgovara njezinoj matičnoj državi članici) i „ukupno” za sve zemlje.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61B5E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{y} ili {n}  u skladu s uputama za odgovarajući redak.</w:t>
            </w:r>
          </w:p>
        </w:tc>
      </w:tr>
    </w:tbl>
    <w:p w14:paraId="51476A7B" w14:textId="77777777" w:rsidR="009D6580" w:rsidRPr="002A677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70661EF5" w14:textId="77777777" w:rsidTr="00822842">
        <w:tc>
          <w:tcPr>
            <w:tcW w:w="1697" w:type="dxa"/>
          </w:tcPr>
          <w:p w14:paraId="563EAAB9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8131" w:type="dxa"/>
          </w:tcPr>
          <w:p w14:paraId="3D2862F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Relevantne kreditne izloženosti – kreditni rizik</w:t>
            </w:r>
          </w:p>
          <w:p w14:paraId="516A26F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Relevantne kreditne izloženosti iz članka 140. stavka 4. točke (a) Direktive 2013/36/EU.</w:t>
            </w:r>
          </w:p>
        </w:tc>
      </w:tr>
      <w:tr w:rsidR="009D6580" w:rsidRPr="002A677E" w14:paraId="527A1F7E" w14:textId="77777777" w:rsidTr="00822842">
        <w:tc>
          <w:tcPr>
            <w:tcW w:w="1697" w:type="dxa"/>
          </w:tcPr>
          <w:p w14:paraId="18BE8A8D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0D60C4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 u skladu sa standardiziranim pristupom</w:t>
            </w:r>
          </w:p>
          <w:p w14:paraId="0EA1DD75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izračunata u skladu s člankom 111. Uredbe (EU) br. 575/2013 za relevantne kreditne izloženosti iz članka 140. stavka 4. točke (a) Direktive 2013/36/EU.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B986ED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sekuritizacijskih pozicija u knjizi pozicija kojima se ne trguje isključuje se iz ovog retka i iskazuje se u retku 0055.</w:t>
            </w:r>
          </w:p>
        </w:tc>
      </w:tr>
      <w:tr w:rsidR="009D6580" w:rsidRPr="002A677E" w14:paraId="367F78C6" w14:textId="77777777" w:rsidTr="00822842">
        <w:tc>
          <w:tcPr>
            <w:tcW w:w="1697" w:type="dxa"/>
          </w:tcPr>
          <w:p w14:paraId="3217061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385211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 u skladu s IRB pristupom</w:t>
            </w:r>
          </w:p>
          <w:p w14:paraId="3F80BC3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izračunata u skladu s člankom 166. Uredbe (EU) br. 575/2013 za relevantne kreditne izloženosti iz članka 140. stavka 4. točke (a) Direktive 2013/36/EU.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C130F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sekuritizacijskih pozicija u knjizi pozicija kojima se ne trguje isključuje se iz ovog retka i iskazuje se u retku 0055.</w:t>
            </w:r>
          </w:p>
        </w:tc>
      </w:tr>
      <w:tr w:rsidR="009D6580" w:rsidRPr="002A677E" w14:paraId="613420F2" w14:textId="77777777" w:rsidTr="00822842">
        <w:tc>
          <w:tcPr>
            <w:tcW w:w="1697" w:type="dxa"/>
          </w:tcPr>
          <w:p w14:paraId="53491AF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8131" w:type="dxa"/>
          </w:tcPr>
          <w:p w14:paraId="369D85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Relevantne kreditne izloženosti – tržišni rizik</w:t>
            </w:r>
          </w:p>
          <w:p w14:paraId="54050F9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Relevantne kreditne izloženosti iz članka 140. stavka 4. točke (b) Direktive 2013/36/EU.</w:t>
            </w:r>
          </w:p>
        </w:tc>
      </w:tr>
      <w:tr w:rsidR="009D6580" w:rsidRPr="002A677E" w14:paraId="670769C5" w14:textId="77777777" w:rsidTr="00822842">
        <w:tc>
          <w:tcPr>
            <w:tcW w:w="1697" w:type="dxa"/>
          </w:tcPr>
          <w:p w14:paraId="27E0BEE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740784D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Zbroj dugih i kratkih pozicija u izloženostima iz knjige trgovanja za standardizirani pristup</w:t>
            </w:r>
          </w:p>
          <w:p w14:paraId="5F803AC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Zbroj neto dugih i neto kratkih pozicija u skladu s člankom 327. Uredbe (EU) br. 575/2013 u relevantnim kreditnim izloženostima iz članka 140. stavka 4. točke (b) Direktive 2013/36/EU na koje se primjenjuju kapitalni zahtjevi u skladu s dijelom trećim glavom IV. poglavljem 2. Uredbe (EU) br. 575/2013: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5B6B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izloženosti prema dužničkim instrumentima osim sekuritizacija,</w:t>
            </w:r>
          </w:p>
          <w:p w14:paraId="2F347ECD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izloženosti prema sekuritizacijskim pozicijama u knjizi trgovanja,</w:t>
            </w:r>
          </w:p>
          <w:p w14:paraId="0BF14848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izloženosti prema korelacijskim portfeljima namijenjenima trgovanju,</w:t>
            </w:r>
          </w:p>
          <w:p w14:paraId="426EA2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izloženosti prema vlasničkim vrijednosnim papirima,</w:t>
            </w:r>
          </w:p>
          <w:p w14:paraId="29596F16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izloženosti prema CIU-ovima ako se kapitalni zahtjevi izračunavaju u skladu s člankom 348. Uredbe (EU) br. 575/2013.</w:t>
            </w:r>
          </w:p>
        </w:tc>
      </w:tr>
      <w:tr w:rsidR="009D6580" w:rsidRPr="002A677E" w14:paraId="1B5F6FE5" w14:textId="77777777" w:rsidTr="00822842">
        <w:tc>
          <w:tcPr>
            <w:tcW w:w="1697" w:type="dxa"/>
          </w:tcPr>
          <w:p w14:paraId="22718F0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31" w:type="dxa"/>
          </w:tcPr>
          <w:p w14:paraId="7989891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 iz knjige trgovanja u skladu s internim modelima</w:t>
            </w:r>
          </w:p>
          <w:p w14:paraId="2C5D070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relevantne kreditne izloženosti iz članka 140. stavka 4. točke (b) Direktive 2013/36/EU na koje se primjenjuju kapitalni zahtjevi u skladu s dijelom trećim glavom IV. poglavljima 2. i 5. Uredbe (EU) br. 575/2013, iskazuje se zbroj sljedećeg:</w:t>
            </w:r>
          </w:p>
          <w:p w14:paraId="07E28E81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-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fer vrijednosti neizvedenih pozicija koje predstavljaju relevantne kreditne izloženosti iz članka 140. stavka 4. točke (b) Direktive 2013/36/EU, utvrđene u skladu s člankom 104. Uredbe (EU) br. 575/2013,</w:t>
            </w:r>
          </w:p>
          <w:p w14:paraId="198195E0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-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zamišljene vrijednosti izvedenica koje predstavljaju relevantne kreditne izloženosti iz članka 140. stavka 4. točke (b) Direktive 2013/36/EU.</w:t>
            </w:r>
          </w:p>
        </w:tc>
      </w:tr>
      <w:tr w:rsidR="009D6580" w:rsidRPr="002A677E" w14:paraId="6BA1E71E" w14:textId="77777777" w:rsidTr="00822842">
        <w:tc>
          <w:tcPr>
            <w:tcW w:w="1697" w:type="dxa"/>
          </w:tcPr>
          <w:p w14:paraId="37545C8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131" w:type="dxa"/>
          </w:tcPr>
          <w:p w14:paraId="3A6EE46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Relevantne kreditne izloženosti – sekuritizacijske pozicije u knjizi pozicija kojima se ne trguje</w:t>
            </w:r>
          </w:p>
          <w:p w14:paraId="4B3C84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izračunata u skladu s člankom 248. Uredbe (EU) br. 575/2013 za relevantne kreditne izloženosti iz članka 140. stavka 4. točke (c) Direktive 2013/36/EU.</w:t>
            </w:r>
          </w:p>
        </w:tc>
      </w:tr>
      <w:tr w:rsidR="009D6580" w:rsidRPr="002A677E" w14:paraId="2A6651FC" w14:textId="77777777" w:rsidTr="00822842">
        <w:tc>
          <w:tcPr>
            <w:tcW w:w="1697" w:type="dxa"/>
          </w:tcPr>
          <w:p w14:paraId="3D2C5D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0070-0110</w:t>
            </w:r>
          </w:p>
        </w:tc>
        <w:tc>
          <w:tcPr>
            <w:tcW w:w="8131" w:type="dxa"/>
          </w:tcPr>
          <w:p w14:paraId="6A03AF3B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Kapitalni zahtjevi i ponderi</w:t>
            </w:r>
          </w:p>
        </w:tc>
      </w:tr>
      <w:tr w:rsidR="009D6580" w:rsidRPr="002A677E" w14:paraId="5C042A5F" w14:textId="77777777" w:rsidTr="00822842">
        <w:tc>
          <w:tcPr>
            <w:tcW w:w="1697" w:type="dxa"/>
          </w:tcPr>
          <w:p w14:paraId="32640B7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31" w:type="dxa"/>
          </w:tcPr>
          <w:p w14:paraId="431787D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Ukupni kapitalni zahtjevi za protuciklički zaštitni sloj kapitala</w:t>
            </w:r>
          </w:p>
          <w:p w14:paraId="78C2961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Zbroj redaka 0080, 0090 i 0100.</w:t>
            </w:r>
          </w:p>
        </w:tc>
      </w:tr>
      <w:tr w:rsidR="009D6580" w:rsidRPr="002A677E" w14:paraId="7D74E37B" w14:textId="77777777" w:rsidTr="00822842">
        <w:tc>
          <w:tcPr>
            <w:tcW w:w="1697" w:type="dxa"/>
          </w:tcPr>
          <w:p w14:paraId="26DA65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31" w:type="dxa"/>
          </w:tcPr>
          <w:p w14:paraId="2381AF1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Kapitalni zahtjevi za relevantne kreditne izloženosti – kreditni rizik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126D1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izračunati u skladu s dijelom trećim glavom II. poglavljima od 1. do 4. i poglavljem 6. Uredbe (EU) br. 575/2013 za relevantne kreditne izloženosti iz članka 140. stavka 4. točke (a) Direktive 2013/36/EU u dotičnoj zemlji.</w:t>
            </w:r>
          </w:p>
          <w:p w14:paraId="094DA9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za sekuritizacijske pozicije u knjizi pozicija kojima se ne trguje isključuju se iz ovog retka i iskazuju se u retku 0100.</w:t>
            </w:r>
          </w:p>
          <w:p w14:paraId="037A149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iznose 8 % iznosa izloženosti ponderiranog rizikom utvrđenog u skladu s dijelom trećim glavom II. poglavljima od 1. do 4. i poglavljem 6. Uredbe (EU) br. 575/2013.</w:t>
            </w:r>
          </w:p>
        </w:tc>
      </w:tr>
      <w:tr w:rsidR="009D6580" w:rsidRPr="002A677E" w14:paraId="6CE5DB0E" w14:textId="77777777" w:rsidTr="00822842">
        <w:tc>
          <w:tcPr>
            <w:tcW w:w="1697" w:type="dxa"/>
          </w:tcPr>
          <w:p w14:paraId="0847E4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31" w:type="dxa"/>
          </w:tcPr>
          <w:p w14:paraId="4922C9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Kapitalni zahtjevi za relevantne kreditne izloženosti – tržišni rizik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686B88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izračunati u skladu s dijelom trećim glavom IV. poglavljem 2. Uredbe (EU) br. 575/2013 za specifični rizik ili u skladu s dijelom trećim glavom IV. poglavljem 5. Uredbe (EU) br. 575/2013 za dodatni rizik nastanka statusa neispunjavanja obveza i migracijski rizik za relevantne izloženosti iz članka 140. stavka 4. točke (b) Direktive 2013/36/EU u dotičnoj zemlji.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61181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za relevantne kreditne izloženosti na temelju okvira za tržišni rizik među ostalim uključuju kapitalne zahtjeve za sekuritizacijske pozicije izračunate u skladu s dijelom trećim glavom IV. poglavljem 2. Uredbe (EU) br. 575/2013 i kapitalne zahtjeve za izloženosti subjekata za zajednička ulaganja utvrđene u skladu s člankom 348. te uredbe.</w:t>
            </w:r>
          </w:p>
        </w:tc>
      </w:tr>
      <w:tr w:rsidR="009D6580" w:rsidRPr="002A677E" w14:paraId="655D63DC" w14:textId="77777777" w:rsidTr="00822842">
        <w:tc>
          <w:tcPr>
            <w:tcW w:w="1697" w:type="dxa"/>
          </w:tcPr>
          <w:p w14:paraId="4911AAD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31" w:type="dxa"/>
          </w:tcPr>
          <w:p w14:paraId="45D3AC3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Kapitalni zahtjevi za relevantne kreditne izloženosti – sekuritizacijske pozicije u knjizi pozicija kojima se ne trguje</w:t>
            </w:r>
          </w:p>
          <w:p w14:paraId="6483412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izračunati u skladu s dijelom trećim glavom II. poglavljem 5. Uredbe (EU) br. 575/2013 za relevantne kreditne izloženosti iz članka 140. stavka 4. točke (c) Direktive 2013/36/EU u dotičnoj zemlji.</w:t>
            </w:r>
          </w:p>
          <w:p w14:paraId="1A6665D5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Kapitalni zahtjevi iznose 8 % iznosa izloženosti ponderiranog rizikom utvrđenog u skladu s dijelom trećim glavom II. poglavljem 5. Uredbe (EU) br. 575/2013.</w:t>
            </w:r>
          </w:p>
        </w:tc>
      </w:tr>
      <w:tr w:rsidR="009D6580" w:rsidRPr="002A677E" w14:paraId="4015A9D7" w14:textId="77777777" w:rsidTr="00822842">
        <w:tc>
          <w:tcPr>
            <w:tcW w:w="1697" w:type="dxa"/>
          </w:tcPr>
          <w:p w14:paraId="4ACCD3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31" w:type="dxa"/>
          </w:tcPr>
          <w:p w14:paraId="2EE25FA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Ponderi kapitalnih zahtjeva</w:t>
            </w:r>
          </w:p>
          <w:p w14:paraId="3D7B890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 koji se primjenjuje na stopu protucikličkog zaštitnog sloja u svakoj zemlji izračunava se kao omjer kapitalnih zahtjeva utvrđeno kako slijedi:</w:t>
            </w:r>
          </w:p>
          <w:p w14:paraId="47443D0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Brojnik: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ukupni kapitalni zahtjevi koji se odnose na relevantne kreditne izloženosti u dotičnoj zemlji [r0070;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obrascu za zemlju],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FE57E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Nazivnik: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ukupni kapitalni zahtjevi koji se odnose na sve kreditne izloženosti relevantne za izračun protucikličkog zaštitnog sloja iz članka 140. stavka 4. Direktive 2013/36/EU [redak 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„Ukupno”].</w:t>
            </w:r>
          </w:p>
          <w:p w14:paraId="423D2DDF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ponderima kapitalnih zahtjeva ne iskazuju se pod „ukupno” za sve zemlje.</w:t>
            </w:r>
          </w:p>
        </w:tc>
      </w:tr>
      <w:tr w:rsidR="009D6580" w:rsidRPr="002A677E" w14:paraId="5C4BC14D" w14:textId="77777777" w:rsidTr="00822842">
        <w:tc>
          <w:tcPr>
            <w:tcW w:w="1697" w:type="dxa"/>
          </w:tcPr>
          <w:p w14:paraId="1A2171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0120-0140</w:t>
            </w:r>
          </w:p>
        </w:tc>
        <w:tc>
          <w:tcPr>
            <w:tcW w:w="8131" w:type="dxa"/>
          </w:tcPr>
          <w:p w14:paraId="0FFF9D8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Stope protucikličkog zaštitnog sloja</w:t>
            </w:r>
          </w:p>
        </w:tc>
      </w:tr>
      <w:tr w:rsidR="009D6580" w:rsidRPr="002A677E" w14:paraId="3D2AE883" w14:textId="77777777" w:rsidTr="00822842">
        <w:tc>
          <w:tcPr>
            <w:tcW w:w="1697" w:type="dxa"/>
          </w:tcPr>
          <w:p w14:paraId="61437E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31" w:type="dxa"/>
          </w:tcPr>
          <w:p w14:paraId="756100DA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Stopa protucikličkog zaštitnog sloja kapitala koju je odredilo imenovano tijelo</w:t>
            </w:r>
          </w:p>
          <w:p w14:paraId="256AAB4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Stopa protucikličkog zaštitnog sloja kapitala koju je za tu zemlju odredilo imenovano tijelo te zemlje u skladu s člancima 136., 137., 139., člankom 140. stavkom 2. točkama (a) i (c) i člankom 140. stavkom 3. točkom (b) Direktive 2013/36/EU.</w:t>
            </w:r>
          </w:p>
          <w:p w14:paraId="08387A1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Ovaj se redak ne treba popunjavati ako za dotičnu zemlju imenovano tijelo te zemlje nije utvrdilo stopu protucikličkog zaštitnog sloja kapitala.</w:t>
            </w:r>
          </w:p>
          <w:p w14:paraId="79AF7A0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 iskazuju se stope protucikličkog zaštitnog sloja kapitala koje je odredilo imenovano tijelo, ali koje nisu još primjenjive u dotičnoj zemlji na referentni izvještajni datum.</w:t>
            </w:r>
          </w:p>
          <w:p w14:paraId="5BEA0E1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stopi protucikličkog zaštitnog sloja kapitala koju je odredilo imenovano tijelo ne iskazuju se pod „ukupno” za sve zemlje.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01E6253D" w14:textId="77777777" w:rsidTr="00822842">
        <w:tc>
          <w:tcPr>
            <w:tcW w:w="1697" w:type="dxa"/>
          </w:tcPr>
          <w:p w14:paraId="3226BBD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31" w:type="dxa"/>
          </w:tcPr>
          <w:p w14:paraId="1301D1B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Stopa protucikličkog zaštitnog sloja primjenjiva na zemlju institucije</w:t>
            </w:r>
          </w:p>
          <w:p w14:paraId="47D66D49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Stopa protucikličkog zaštitnog sloja kapitala primjenjiva na dotičnu zemlju koju je za tu zemlju odredilo imenovano tijelo zemlje rezidentnosti institucije u skladu s člancima 137., 138. i 139., člankom 140. stavkom 2. točkom (b) i člankom 140. stavkom 3. točkom (a) Direktive 2013/36/EU.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Ne iskazuju se stope protucikličkog zaštitnog sloja kapitala koje nisu primjenjive na referentni izvještajni datum.</w:t>
            </w:r>
          </w:p>
          <w:p w14:paraId="082B584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stopi protucikličkog zaštitnog sloja kapitala primjenjivoj na dotičnu zemlju institucije ne iskazuju se pod „ukupno” za sve zemlje.</w:t>
            </w:r>
          </w:p>
        </w:tc>
      </w:tr>
      <w:tr w:rsidR="009D6580" w:rsidRPr="002A677E" w14:paraId="3FF424DB" w14:textId="77777777" w:rsidTr="00822842">
        <w:tc>
          <w:tcPr>
            <w:tcW w:w="1697" w:type="dxa"/>
          </w:tcPr>
          <w:p w14:paraId="752F44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31" w:type="dxa"/>
          </w:tcPr>
          <w:p w14:paraId="315BAE6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Stopa protucikličkog zaštitnog sloja kapitala specifična za instituciju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53E054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Stopa protucikličkog zaštitnog sloja kapitala specifična za instituciju, izračunata u skladu s člankom 140. stavkom 1. Direktive 2013/36/EU.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75D2B3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Stopa protucikličkog zaštitnog sloja kapitala specifična za instituciju izračunava se kao ponderirani prosjek stopa protucikličkog zaštitnog sloja koje se primjenjuju u zemljama u kojima se nalaze relevantne kreditne izloženosti institucije ili se primjenjuju za potrebe članka 140. na temelju članka 139. stavaka 2. ili 3. Direktive 2013/36/EU.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Relevantna stopa protucikličkog zaštitnog sloja iskazuje se u [retku 0120;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obrazac za zemlju], ili [retku 0130;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obrazac za zemlju] kako je primjenjivo.</w:t>
            </w:r>
          </w:p>
          <w:p w14:paraId="2C4ECB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 primjenjiv na stopu protucikličkog zaštitnog sloja u svakoj zemlji jednak je udjelu kapitalnih zahtjeva u ukupnim kapitalnim zahtjevima i iskazuje se u [retku 0110;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obrascu za zemlju].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E93DC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stopi protucikličkog zaštitnog sloja kapitala specifičnog za instituciju iskazuju se samo pod „ukupno” za sve zemlje, a ne zasebno za svaku zemlju.</w:t>
            </w:r>
          </w:p>
        </w:tc>
      </w:tr>
      <w:tr w:rsidR="009D6580" w:rsidRPr="002A677E" w14:paraId="0CA64D03" w14:textId="77777777" w:rsidTr="00822842">
        <w:tc>
          <w:tcPr>
            <w:tcW w:w="1697" w:type="dxa"/>
          </w:tcPr>
          <w:p w14:paraId="1436C16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0150-0160</w:t>
            </w:r>
          </w:p>
        </w:tc>
        <w:tc>
          <w:tcPr>
            <w:tcW w:w="8131" w:type="dxa"/>
          </w:tcPr>
          <w:p w14:paraId="13A71A3D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Primjena praga od 2 %</w:t>
            </w:r>
          </w:p>
        </w:tc>
      </w:tr>
      <w:tr w:rsidR="009D6580" w:rsidRPr="002A677E" w14:paraId="4C39701D" w14:textId="77777777" w:rsidTr="00822842">
        <w:tc>
          <w:tcPr>
            <w:tcW w:w="1697" w:type="dxa"/>
          </w:tcPr>
          <w:p w14:paraId="62E51E1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31" w:type="dxa"/>
          </w:tcPr>
          <w:p w14:paraId="0ABF51F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Primjena praga od 2 % za opće kreditne izloženosti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B71CE8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skladu s člankom 2. stavkom 5. točkom (b) Delegirane uredbe Komisije (EU) br. 1152/2014, inozemne opće kreditne izloženosti čija ukupna vrijednost ne premašuje 2 % ukupne vrijednosti općih kreditnih izloženosti, izloženosti iz knjige trgovanja i sekuritizacijskih izloženosti te institucije mogu se raspodijeliti na matičnu državu članicu institucije.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Ukupne vrijednosti općih kreditnih izloženosti, izloženosti iz knjige trgovanja i sekuritizacijskih izloženosti izračunavaju se tako što se isključe opće kreditne izloženosti raspoređene u skladu s člankom 2. stavkom 5. točkom (a) i člankom 2. stavkom 4. Delegirane uredbe Komisije (EU) br. 1152/2014.</w:t>
            </w:r>
          </w:p>
          <w:p w14:paraId="53DCDD6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institucija koristi tu derogaciju, navodi „y” u obrascu za zemlju koja odgovara njezinoj matičnoj državi članici i pod „ukupno” za sve zemlje.</w:t>
            </w:r>
          </w:p>
          <w:p w14:paraId="5B2597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institucija ne koristi tu derogaciju, navodi „n” u odgovarajućoj rubrici.</w:t>
            </w:r>
          </w:p>
        </w:tc>
      </w:tr>
      <w:tr w:rsidR="009D6580" w:rsidRPr="002A677E" w14:paraId="7179BBF6" w14:textId="77777777" w:rsidTr="00822842">
        <w:tc>
          <w:tcPr>
            <w:tcW w:w="1697" w:type="dxa"/>
          </w:tcPr>
          <w:p w14:paraId="528EEA5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31" w:type="dxa"/>
          </w:tcPr>
          <w:p w14:paraId="4FC000D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Primjena praga od 2 % za izloženosti iz knjige trgovanja</w:t>
            </w:r>
          </w:p>
          <w:p w14:paraId="13ED02AA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skladu s člankom 3. stavkom 3. Delegirane uredbe Komisije (EU) br. 1152/2014, institucije mogu izloženosti iz knjige trgovanja raspodijeliti na matičnu državu članicu ako ukupna vrijednost izloženosti iz knjige trgovanja ne premašuje 2 % njihovih ukupnih općih kreditnih izloženosti, izloženosti iz knjige trgovanja i sekuritizacijskih izloženosti.</w:t>
            </w:r>
          </w:p>
          <w:p w14:paraId="068BDCF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institucija koristi tu derogaciju, navodi „y” u obrascu za zemlju koja odgovara njezinoj matičnoj državi članici i pod „ukupno” za sve zemlje.</w:t>
            </w:r>
          </w:p>
          <w:p w14:paraId="3EA8EC30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institucija ne koristi tu derogaciju, navodi „n” u odgovarajućoj rubrici.</w:t>
            </w:r>
          </w:p>
        </w:tc>
      </w:tr>
    </w:tbl>
    <w:p w14:paraId="41871259" w14:textId="77777777" w:rsidR="009D6580" w:rsidRDefault="009D6580"/>
    <w:p w14:paraId="6D451BBA" w14:textId="77777777" w:rsidR="009D6580" w:rsidRDefault="009D6580"/>
    <w:sectPr w:rsidR="009D6580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sz w:val="20"/>
          <w:szCs w:val="20"/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ab/>
      </w:r>
      <w:r>
        <w:rPr>
          <w:sz w:val="20"/>
          <w:color w:val="444444"/>
          <w:rFonts w:ascii="Times New Roman" w:hAnsi="Times New Roman"/>
        </w:rPr>
        <w:t xml:space="preserve">Delegirana uredba Komisije (EU) br. 1152/2014 оd 4. lipnja 2014. o dopuni Direktive 2013/36/EU Europskog parlamenta i Vijeća u pogledu regulatornih tehničkih standarda za utvrđivanje geografskog položaja relevantnih kreditnih izloženosti za izračun stopa protucikličkog zaštitnog sloja kapitala specifičnih za instituciju (SL L 309, 30.10.2014., str.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val="hr-HR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val="hr-H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val="hr-HR"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r-HR"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val="hr-HR"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hr-HR"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val="hr-H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hr-HR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hr-HR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hr-HR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hr-HR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hr-HR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val="hr-HR"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hr-HR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hr-HR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hr-HR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hr-HR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val="hr-HR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hr-HR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val="hr-HR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val="hr-HR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hr-HR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val="hr-HR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hr-HR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hr-HR"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val="hr-HR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hr-HR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r-HR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r-HR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val="hr-HR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r-HR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hr-HR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hr-HR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r-HR"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:lang w:val="hr-HR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hr-HR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hr-HR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hr-HR"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:lang w:val="hr-HR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val="hr-HR"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hr-HR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hr-HR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r-H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hr-HR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74746-E97B-43FD-AF75-4BD0FC5ABD1B}"/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3827</Words>
  <Characters>22237</Characters>
  <Application>Microsoft Office Word</Application>
  <DocSecurity>0</DocSecurity>
  <Lines>427</Lines>
  <Paragraphs>138</Paragraphs>
  <ScaleCrop>false</ScaleCrop>
  <Company/>
  <LinksUpToDate>false</LinksUpToDate>
  <CharactersWithSpaces>25926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2024-07-04T16:47:00Z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